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9504" w:val="right"/>
        </w:tabs>
        <w:spacing w:after="360"/>
      </w:pPr>
      <w:r>
        <w:rPr>
          <w:rFonts w:ascii="Aptos" w:hAnsi="Aptos"/>
          <w:b/>
          <w:i w:val="0"/>
          <w:color w:val="472D4D"/>
          <w:sz w:val="20"/>
        </w:rPr>
        <w:t>CONVERSA</w:t>
      </w:r>
      <w:r>
        <w:rPr>
          <w:rFonts w:ascii="Aptos" w:hAnsi="Aptos"/>
          <w:b/>
          <w:i w:val="0"/>
          <w:color w:val="285F78"/>
          <w:sz w:val="17"/>
        </w:rPr>
        <w:tab/>
        <w:t>RESOURCE</w:t>
      </w:r>
    </w:p>
    <w:p>
      <w:pPr>
        <w:spacing w:before="240" w:after="60"/>
      </w:pPr>
      <w:r>
        <w:rPr>
          <w:rFonts w:ascii="Aptos" w:hAnsi="Aptos"/>
          <w:b/>
          <w:i w:val="0"/>
          <w:color w:val="285F78"/>
          <w:sz w:val="18"/>
        </w:rPr>
        <w:t>PLANNING CHECK · 15 MINUTES</w:t>
      </w:r>
    </w:p>
    <w:p>
      <w:pPr>
        <w:pStyle w:val="Title"/>
      </w:pPr>
      <w:r>
        <w:t>Before you invite participation.</w:t>
      </w:r>
    </w:p>
    <w:p>
      <w:pPr>
        <w:pStyle w:val="Standfirst"/>
      </w:pPr>
      <w:r>
        <w:rPr>
          <w:rFonts w:ascii="Aptos" w:hAnsi="Aptos"/>
          <w:b w:val="0"/>
          <w:i w:val="0"/>
          <w:color w:val="27222A"/>
          <w:sz w:val="23"/>
        </w:rPr>
        <w:t>A short check for anyone preparing a consultation, workshop, group conversation or shared decision.</w:t>
      </w:r>
    </w:p>
    <w:p>
      <w:pPr>
        <w:pStyle w:val="Heading1"/>
      </w:pPr>
      <w:r>
        <w:rPr>
          <w:rFonts w:ascii="Aptos" w:hAnsi="Aptos"/>
          <w:b w:val="0"/>
          <w:i w:val="0"/>
          <w:color w:val="27222A"/>
          <w:sz w:val="23"/>
        </w:rPr>
        <w:t>1. Name the purpose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What are you asking people to help understand, shape or decide?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Why is participation useful at this point?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What could be different because people took part?</w:t>
      </w:r>
    </w:p>
    <w:p>
      <w:pPr>
        <w:pStyle w:val="Heading1"/>
      </w:pPr>
      <w:r>
        <w:rPr>
          <w:rFonts w:ascii="Aptos" w:hAnsi="Aptos"/>
          <w:b w:val="0"/>
          <w:i w:val="0"/>
          <w:color w:val="27222A"/>
          <w:sz w:val="23"/>
        </w:rPr>
        <w:t>2. Make the boundaries visible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What is genuinely open to change?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What is already fixed, and why?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Who has formal authority for the final decision?</w:t>
      </w:r>
    </w:p>
    <w:p>
      <w:pPr>
        <w:pStyle w:val="Heading1"/>
      </w:pPr>
      <w:r>
        <w:rPr>
          <w:rFonts w:ascii="Aptos" w:hAnsi="Aptos"/>
          <w:b w:val="0"/>
          <w:i w:val="0"/>
          <w:color w:val="27222A"/>
          <w:sz w:val="23"/>
        </w:rPr>
        <w:t>3. Think beyond the easiest people to reach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Who will experience the consequences most directly?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Whose time, access, confidence or previous experience may make participation harder?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What support or different route could make taking part more possible?</w:t>
      </w:r>
    </w:p>
    <w:p>
      <w:pPr>
        <w:pStyle w:val="Heading1"/>
      </w:pPr>
      <w:r>
        <w:rPr>
          <w:rFonts w:ascii="Aptos" w:hAnsi="Aptos"/>
          <w:b w:val="0"/>
          <w:i w:val="0"/>
          <w:color w:val="27222A"/>
          <w:sz w:val="23"/>
        </w:rPr>
        <w:t>4. Plan the response before collecting input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Who will consider what people contribute?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When and how will you explain what changed?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How will you explain what could not change?</w:t>
      </w:r>
    </w:p>
    <w:p>
      <w:pPr>
        <w:pStyle w:val="ListBullet"/>
        <w:spacing w:after="100"/>
      </w:pPr>
      <w:r>
        <w:rPr>
          <w:rFonts w:ascii="Aptos" w:hAnsi="Aptos"/>
          <w:b w:val="0"/>
          <w:i w:val="0"/>
          <w:color w:val="27222A"/>
          <w:sz w:val="23"/>
        </w:rPr>
        <w:t>What will be reviewed later?</w:t>
      </w:r>
    </w:p>
    <w:p>
      <w:pPr>
        <w:spacing w:before="200" w:after="240"/>
      </w:pPr>
      <w:r>
        <w:rPr>
          <w:rFonts w:ascii="Aptos" w:hAnsi="Aptos"/>
          <w:b/>
          <w:i w:val="0"/>
          <w:color w:val="27222A"/>
          <w:sz w:val="23"/>
        </w:rPr>
        <w:t>A useful final test:</w:t>
      </w:r>
      <w:r>
        <w:rPr>
          <w:rFonts w:ascii="Aptos" w:hAnsi="Aptos"/>
          <w:b w:val="0"/>
          <w:i w:val="0"/>
          <w:color w:val="27222A"/>
          <w:sz w:val="23"/>
        </w:rPr>
        <w:t xml:space="preserve"> could someone understand the promise of this process before deciding whether to take part?</w:t>
      </w:r>
    </w:p>
    <w:p>
      <w:pPr>
        <w:pStyle w:val="Heading1"/>
      </w:pPr>
      <w:r>
        <w:t>Sources and further reading</w:t>
      </w:r>
    </w:p>
    <w:p>
      <w:r>
        <w:rPr>
          <w:rFonts w:ascii="Aptos" w:hAnsi="Aptos"/>
          <w:b w:val="0"/>
          <w:i w:val="0"/>
          <w:color w:val="27222A"/>
          <w:sz w:val="23"/>
        </w:rPr>
        <w:t xml:space="preserve">Developed from Conversa Civic material on power, fair process and visible follow-through, alongside </w:t>
      </w:r>
      <w:hyperlink r:id="rId9">
        <w:r>
          <w:rPr>
            <w:color w:val="285F78"/>
            <w:u w:val="single"/>
            <w:rFonts w:ascii="Aptos" w:hAnsi="Aptos"/>
            <w:sz w:val="23"/>
          </w:rPr>
          <w:t>Involve’s planning guidance</w:t>
        </w:r>
      </w:hyperlink>
      <w:r>
        <w:rPr>
          <w:rFonts w:ascii="Aptos" w:hAnsi="Aptos"/>
          <w:b w:val="0"/>
          <w:i w:val="0"/>
          <w:color w:val="27222A"/>
          <w:sz w:val="23"/>
        </w:rPr>
        <w:t xml:space="preserve"> and its </w:t>
      </w:r>
      <w:hyperlink r:id="rId10">
        <w:r>
          <w:rPr>
            <w:color w:val="285F78"/>
            <w:u w:val="single"/>
            <w:rFonts w:ascii="Aptos" w:hAnsi="Aptos"/>
            <w:sz w:val="23"/>
          </w:rPr>
          <w:t>introduction to public engagement in decision-making</w:t>
        </w:r>
      </w:hyperlink>
      <w:r>
        <w:rPr>
          <w:rFonts w:ascii="Aptos" w:hAnsi="Aptos"/>
          <w:b w:val="0"/>
          <w:i w:val="0"/>
          <w:color w:val="27222A"/>
          <w:sz w:val="23"/>
        </w:rPr>
        <w:t>.</w:t>
      </w:r>
    </w:p>
    <w:p>
      <w:pPr>
        <w:spacing w:before="320"/>
      </w:pPr>
      <w:r>
        <w:rPr>
          <w:rFonts w:ascii="Aptos" w:hAnsi="Aptos"/>
          <w:b w:val="0"/>
          <w:i w:val="0"/>
          <w:color w:val="68616A"/>
          <w:sz w:val="19"/>
        </w:rPr>
        <w:t xml:space="preserve">Published by Conversa. Read the latest version at </w:t>
      </w:r>
      <w:hyperlink r:id="rId11">
        <w:r>
          <w:rPr>
            <w:color w:val="285F78"/>
            <w:u w:val="single"/>
            <w:rFonts w:ascii="Aptos" w:hAnsi="Aptos"/>
            <w:sz w:val="23"/>
          </w:rPr>
          <w:t>conversastudio.org/before-you-invite-participation</w:t>
        </w:r>
      </w:hyperlink>
    </w:p>
    <w:sectPr w:rsidR="00FC693F" w:rsidRPr="0006063C" w:rsidSect="00034616">
      <w:pgSz w:w="12240" w:h="15840"/>
      <w:pgMar w:top="1037" w:right="1267" w:bottom="1037" w:left="1267" w:header="461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4" w:lineRule="auto"/>
    </w:pPr>
    <w:rPr>
      <w:rFonts w:ascii="Aptos" w:hAnsi="Aptos"/>
      <w:color w:val="27222A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 w:before="28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first">
    <w:name w:val="Standfirst"/>
    <w:pPr>
      <w:spacing w:after="320" w:line="276" w:lineRule="auto"/>
    </w:pPr>
    <w:rPr>
      <w:rFonts w:ascii="Aptos" w:hAnsi="Aptos"/>
      <w:color w:val="27222A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involve.org.uk/resources/knowledge-base/how-do-i-plan-participatory-process" TargetMode="External"/><Relationship Id="rId10" Type="http://schemas.openxmlformats.org/officeDocument/2006/relationships/hyperlink" Target="https://www.involve.org.uk/resources/knowledge-base/what/public-engagement-decision-making" TargetMode="External"/><Relationship Id="rId11" Type="http://schemas.openxmlformats.org/officeDocument/2006/relationships/hyperlink" Target="https://conversastudio.org/before-you-invite-participatio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you invite participation.</dc:title>
  <dc:subject>Conversa resource</dc:subject>
  <dc:creator>Conversa</dc:creator>
  <cp:keywords>Conversa, conversations, civic life, facilitation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